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Style w:val="5"/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仿宋_GB2312" w:eastAsia="仿宋_GB2312"/>
          <w:sz w:val="32"/>
          <w:szCs w:val="32"/>
        </w:rPr>
        <w:t>附件1：</w:t>
      </w:r>
    </w:p>
    <w:p>
      <w:pPr>
        <w:pStyle w:val="2"/>
        <w:spacing w:before="312" w:beforeLines="100" w:beforeAutospacing="0" w:after="312" w:afterLines="100" w:afterAutospacing="0"/>
        <w:jc w:val="center"/>
        <w:rPr>
          <w:rFonts w:ascii="仿宋_GB2312" w:eastAsia="仿宋_GB2312"/>
          <w:sz w:val="44"/>
          <w:szCs w:val="44"/>
        </w:rPr>
      </w:pPr>
      <w:r>
        <w:rPr>
          <w:rStyle w:val="5"/>
          <w:rFonts w:hint="eastAsia" w:ascii="仿宋_GB2312" w:eastAsia="仿宋_GB2312"/>
          <w:sz w:val="44"/>
          <w:szCs w:val="44"/>
        </w:rPr>
        <w:t>学习研讨十大主题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一、加强思想政治工作，健全三全育人机制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二、优化学科布局结构，服务国家发展战略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三、深化招生制度改革，精准选拔优秀人才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四、完善人才培养体系，强化科教产教育人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五、加强课程教材建设，提升课程教学质量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六、提升导师指导能力，落实立德树人职责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七、深化国际合作交流，持续提升国际影响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八、严格关键环节管理，健全质量监督机制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九、加强交叉学科建设，培养关键领域人才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十、加强条件资源保障，提升服务育人水平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44"/>
    <w:rsid w:val="00744544"/>
    <w:rsid w:val="0078574E"/>
    <w:rsid w:val="00AD725D"/>
    <w:rsid w:val="63C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1</TotalTime>
  <ScaleCrop>false</ScaleCrop>
  <LinksUpToDate>false</LinksUpToDate>
  <CharactersWithSpaces>214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2020-09-25T09:14:00Z</dcterms:created>
  <dc:creator>Windows 用户</dc:creator>
  <cp:lastModifiedBy>油奈</cp:lastModifiedBy>
  <dcterms:modified xsi:type="dcterms:W3CDTF">2020-09-30T02:10:53Z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